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0D" w:rsidRPr="00A45D0D" w:rsidRDefault="00A45D0D" w:rsidP="00A45D0D">
      <w:pPr>
        <w:spacing w:before="100" w:beforeAutospacing="1" w:after="100" w:afterAutospacing="1" w:line="240" w:lineRule="auto"/>
        <w:jc w:val="right"/>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Утвержден</w:t>
      </w:r>
    </w:p>
    <w:p w:rsidR="00A45D0D" w:rsidRPr="00A45D0D" w:rsidRDefault="00A45D0D" w:rsidP="00A45D0D">
      <w:pPr>
        <w:spacing w:before="100" w:beforeAutospacing="1" w:after="100" w:afterAutospacing="1" w:line="240" w:lineRule="auto"/>
        <w:jc w:val="right"/>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Приказом Минэкономразвития России</w:t>
      </w:r>
    </w:p>
    <w:p w:rsidR="00A45D0D" w:rsidRPr="00A45D0D" w:rsidRDefault="00A45D0D" w:rsidP="00A45D0D">
      <w:pPr>
        <w:spacing w:before="100" w:beforeAutospacing="1" w:after="100" w:afterAutospacing="1" w:line="240" w:lineRule="auto"/>
        <w:jc w:val="right"/>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от 4 июля 2011 г. N 328</w:t>
      </w:r>
    </w:p>
    <w:p w:rsidR="00A45D0D" w:rsidRPr="00A45D0D" w:rsidRDefault="00A45D0D" w:rsidP="00A45D0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45D0D">
        <w:rPr>
          <w:rFonts w:ascii="Times New Roman" w:eastAsia="Times New Roman" w:hAnsi="Times New Roman" w:cs="Times New Roman"/>
          <w:b/>
          <w:bCs/>
          <w:sz w:val="36"/>
          <w:szCs w:val="36"/>
        </w:rPr>
        <w:t>ФЕДЕРАЛЬНЫЙ СТАНДАРТ ОЦЕНКИ</w:t>
      </w:r>
    </w:p>
    <w:p w:rsidR="00A45D0D" w:rsidRPr="00A45D0D" w:rsidRDefault="00A45D0D" w:rsidP="00A45D0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45D0D">
        <w:rPr>
          <w:rFonts w:ascii="Times New Roman" w:eastAsia="Times New Roman" w:hAnsi="Times New Roman" w:cs="Times New Roman"/>
          <w:b/>
          <w:bCs/>
          <w:sz w:val="36"/>
          <w:szCs w:val="36"/>
        </w:rPr>
        <w:t>“ВИДЫ ЭКСПЕРТИЗЫ, ПОРЯДОК ЕЕ ПРОВЕДЕНИЯ,</w:t>
      </w:r>
    </w:p>
    <w:p w:rsidR="00A45D0D" w:rsidRPr="00A45D0D" w:rsidRDefault="00A45D0D" w:rsidP="00A45D0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45D0D">
        <w:rPr>
          <w:rFonts w:ascii="Times New Roman" w:eastAsia="Times New Roman" w:hAnsi="Times New Roman" w:cs="Times New Roman"/>
          <w:b/>
          <w:bCs/>
          <w:sz w:val="36"/>
          <w:szCs w:val="36"/>
        </w:rPr>
        <w:t>ТРЕБОВАНИЯ К ЭКСПЕРТНОМУ ЗАКЛЮЧЕНИЮ И ПОРЯДКУ</w:t>
      </w:r>
    </w:p>
    <w:p w:rsidR="00A45D0D" w:rsidRPr="00A45D0D" w:rsidRDefault="00A45D0D" w:rsidP="00A45D0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45D0D">
        <w:rPr>
          <w:rFonts w:ascii="Times New Roman" w:eastAsia="Times New Roman" w:hAnsi="Times New Roman" w:cs="Times New Roman"/>
          <w:b/>
          <w:bCs/>
          <w:sz w:val="36"/>
          <w:szCs w:val="36"/>
        </w:rPr>
        <w:t>ЕГО УТВЕРЖДЕНИЯ (ФСО 5)”</w:t>
      </w:r>
    </w:p>
    <w:p w:rsidR="00A45D0D" w:rsidRPr="00A45D0D" w:rsidRDefault="00A45D0D" w:rsidP="00A45D0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45D0D">
        <w:rPr>
          <w:rFonts w:ascii="Times New Roman" w:eastAsia="Times New Roman" w:hAnsi="Times New Roman" w:cs="Times New Roman"/>
          <w:b/>
          <w:bCs/>
          <w:sz w:val="30"/>
          <w:szCs w:val="30"/>
        </w:rPr>
        <w:t>I. Общие положения</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 xml:space="preserve">1. Настоящий федеральный стандарт оценки разработан с учетом международных стандартов оценки, на основе Федерального закона от 29 июля 1998 г. </w:t>
      </w:r>
      <w:hyperlink r:id="rId4" w:history="1">
        <w:r w:rsidRPr="00A45D0D">
          <w:rPr>
            <w:rFonts w:ascii="Times New Roman" w:eastAsia="Times New Roman" w:hAnsi="Times New Roman" w:cs="Times New Roman"/>
            <w:color w:val="0000FF"/>
            <w:sz w:val="24"/>
            <w:szCs w:val="24"/>
            <w:u w:val="single"/>
          </w:rPr>
          <w:t>N 135-ФЗ</w:t>
        </w:r>
      </w:hyperlink>
      <w:r w:rsidRPr="00A45D0D">
        <w:rPr>
          <w:rFonts w:ascii="Times New Roman" w:eastAsia="Times New Roman" w:hAnsi="Times New Roman" w:cs="Times New Roman"/>
          <w:sz w:val="24"/>
          <w:szCs w:val="24"/>
        </w:rPr>
        <w:t xml:space="preserve"> “Об оценочной деятельности в Российской Федерации” (Собрание законодательства Российской Федерации, 1998, N 31, ст. 3813; 2002, N 12, ст. 1093, N 46, ст. 4537; 2003, N 2, ст. 167; 2004, N 35, ст. 3607; 2006, N 2, ст. 172, N 31, ст. 3456; 2007, фсо 5, N 29, ст. 3482, N 31, ст. 4016; 2009, N 52, ст. 6450; 2010, N 30, ст. 3998; 2011, N 1, ст. 43) (далее – Федеральный закон) и содержит требования к экспертизе отчетов об оценке.</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 xml:space="preserve">2. Настоящий федеральный стандарт оценки устанавливает виды экспертизы </w:t>
      </w:r>
      <w:hyperlink r:id="rId5" w:history="1">
        <w:r w:rsidRPr="00A45D0D">
          <w:rPr>
            <w:rFonts w:ascii="Times New Roman" w:eastAsia="Times New Roman" w:hAnsi="Times New Roman" w:cs="Times New Roman"/>
            <w:color w:val="0000FF"/>
            <w:sz w:val="24"/>
            <w:szCs w:val="24"/>
            <w:u w:val="single"/>
          </w:rPr>
          <w:t>отчета об оценке</w:t>
        </w:r>
      </w:hyperlink>
      <w:r w:rsidRPr="00A45D0D">
        <w:rPr>
          <w:rFonts w:ascii="Times New Roman" w:eastAsia="Times New Roman" w:hAnsi="Times New Roman" w:cs="Times New Roman"/>
          <w:sz w:val="24"/>
          <w:szCs w:val="24"/>
        </w:rPr>
        <w:t>, порядок ее проведения, требования к экспертному заключению и порядку его утверждения.</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3. Настоящий федеральный стандарт оценки является обязательным к применению при осуществлении экспертизы отчетов об оценке.</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 xml:space="preserve">4. Под экспертизой отчета об оценке понимаются действия эксперта или экспертов </w:t>
      </w:r>
      <w:r w:rsidRPr="00A45D0D">
        <w:rPr>
          <w:rFonts w:ascii="Times New Roman" w:eastAsia="Times New Roman" w:hAnsi="Times New Roman" w:cs="Times New Roman"/>
          <w:color w:val="0000FF"/>
          <w:sz w:val="24"/>
          <w:szCs w:val="24"/>
        </w:rPr>
        <w:t>саморегулируемой организации оценщиков</w:t>
      </w:r>
      <w:r w:rsidRPr="00A45D0D">
        <w:rPr>
          <w:rFonts w:ascii="Times New Roman" w:eastAsia="Times New Roman" w:hAnsi="Times New Roman" w:cs="Times New Roman"/>
          <w:sz w:val="24"/>
          <w:szCs w:val="24"/>
        </w:rPr>
        <w:t xml:space="preserve"> в целях проверки отчета, подписанного оценщиком (оценщиками), являющимся (являющимися) членами данной саморегулируемой организации, в соответствии с видом экспертизы.</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В ходе проведения экспертизы отчета об оценке проводится исследование работы, выполненной оценщиком (</w:t>
      </w:r>
      <w:hyperlink r:id="rId6" w:history="1">
        <w:r w:rsidRPr="00A45D0D">
          <w:rPr>
            <w:rFonts w:ascii="Times New Roman" w:eastAsia="Times New Roman" w:hAnsi="Times New Roman" w:cs="Times New Roman"/>
            <w:color w:val="0000FF"/>
            <w:sz w:val="24"/>
            <w:szCs w:val="24"/>
            <w:u w:val="single"/>
          </w:rPr>
          <w:t>оценщиками</w:t>
        </w:r>
      </w:hyperlink>
      <w:r w:rsidRPr="00A45D0D">
        <w:rPr>
          <w:rFonts w:ascii="Times New Roman" w:eastAsia="Times New Roman" w:hAnsi="Times New Roman" w:cs="Times New Roman"/>
          <w:sz w:val="24"/>
          <w:szCs w:val="24"/>
        </w:rPr>
        <w:t>). При проведении экспертизы отчета об оценке экспертом (экспертами) не проводится повторная оценка.</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 xml:space="preserve">Экспертиза отчета об оценке проводится в соответствии с требованиями Федерального </w:t>
      </w:r>
      <w:r w:rsidRPr="00A45D0D">
        <w:rPr>
          <w:rFonts w:ascii="Times New Roman" w:eastAsia="Times New Roman" w:hAnsi="Times New Roman" w:cs="Times New Roman"/>
          <w:color w:val="333333"/>
          <w:sz w:val="24"/>
          <w:szCs w:val="24"/>
        </w:rPr>
        <w:t>закона</w:t>
      </w:r>
      <w:r w:rsidRPr="00A45D0D">
        <w:rPr>
          <w:rFonts w:ascii="Times New Roman" w:eastAsia="Times New Roman" w:hAnsi="Times New Roman" w:cs="Times New Roman"/>
          <w:sz w:val="24"/>
          <w:szCs w:val="24"/>
        </w:rPr>
        <w:t xml:space="preserve">, </w:t>
      </w:r>
      <w:hyperlink r:id="rId7" w:history="1">
        <w:r w:rsidRPr="00A45D0D">
          <w:rPr>
            <w:rFonts w:ascii="Times New Roman" w:eastAsia="Times New Roman" w:hAnsi="Times New Roman" w:cs="Times New Roman"/>
            <w:color w:val="0000FF"/>
            <w:sz w:val="24"/>
            <w:szCs w:val="24"/>
            <w:u w:val="single"/>
          </w:rPr>
          <w:t>федеральных стандартов оценки</w:t>
        </w:r>
      </w:hyperlink>
      <w:r w:rsidRPr="00A45D0D">
        <w:rPr>
          <w:rFonts w:ascii="Times New Roman" w:eastAsia="Times New Roman" w:hAnsi="Times New Roman" w:cs="Times New Roman"/>
          <w:sz w:val="24"/>
          <w:szCs w:val="24"/>
        </w:rPr>
        <w:t>, стандартов и правил оценочной деятельности саморегулируемой организации оценщиков, членом экспертного совета которой является эксперт (эксперты), проводящий экспертизу отчета об оценке.</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 xml:space="preserve">Действия (бездействие) эксперта (экспертов), а также результаты экспертизы могут быть обжалованы оценщиком, подписавшим соответствующий отчет об оценке, в саморегулируемой организации оценщиков в порядке, установленном внутренними </w:t>
      </w:r>
      <w:r w:rsidRPr="00A45D0D">
        <w:rPr>
          <w:rFonts w:ascii="Times New Roman" w:eastAsia="Times New Roman" w:hAnsi="Times New Roman" w:cs="Times New Roman"/>
          <w:sz w:val="24"/>
          <w:szCs w:val="24"/>
        </w:rPr>
        <w:lastRenderedPageBreak/>
        <w:t>документами такой саморегулируемой организации, устанавливающими сроки рассмотрения жалобы на действия (бездействие) эксперта и (или) результаты экспертизы, порядок направления такой жалобы, рассмотрения, принятия решения и уведомления заинтересованных лиц о результатах ее рассмотрения.</w:t>
      </w:r>
    </w:p>
    <w:p w:rsidR="00A45D0D" w:rsidRPr="00A45D0D" w:rsidRDefault="00A45D0D" w:rsidP="00A45D0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45D0D">
        <w:rPr>
          <w:rFonts w:ascii="Times New Roman" w:eastAsia="Times New Roman" w:hAnsi="Times New Roman" w:cs="Times New Roman"/>
          <w:b/>
          <w:bCs/>
          <w:sz w:val="30"/>
          <w:szCs w:val="30"/>
        </w:rPr>
        <w:t>II. Виды экспертизы отчета об оценке</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5. Настоящим федеральным стандартом оценки устанавливаются следующие виды экспертизы отчетов об оценке:</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 xml:space="preserve">экспертиза на соответствие требованиям законодательства Российской Федерации об оценочной деятельности, в том числе требованиям Федерального </w:t>
      </w:r>
      <w:r w:rsidRPr="00A45D0D">
        <w:rPr>
          <w:rFonts w:ascii="Times New Roman" w:eastAsia="Times New Roman" w:hAnsi="Times New Roman" w:cs="Times New Roman"/>
          <w:color w:val="333333"/>
          <w:sz w:val="24"/>
          <w:szCs w:val="24"/>
        </w:rPr>
        <w:t>закона,</w:t>
      </w:r>
      <w:r w:rsidRPr="00A45D0D">
        <w:rPr>
          <w:rFonts w:ascii="Times New Roman" w:eastAsia="Times New Roman" w:hAnsi="Times New Roman" w:cs="Times New Roman"/>
          <w:sz w:val="24"/>
          <w:szCs w:val="24"/>
        </w:rPr>
        <w:t xml:space="preserve">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(далее – нормативно-методическая экспертиза);</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 xml:space="preserve">экспертиза на подтверждение стоимости объекта оценки, определенной оценщиком в </w:t>
      </w:r>
      <w:hyperlink r:id="rId8" w:history="1">
        <w:r w:rsidRPr="00A45D0D">
          <w:rPr>
            <w:rFonts w:ascii="Times New Roman" w:eastAsia="Times New Roman" w:hAnsi="Times New Roman" w:cs="Times New Roman"/>
            <w:color w:val="0000FF"/>
            <w:sz w:val="24"/>
            <w:szCs w:val="24"/>
            <w:u w:val="single"/>
          </w:rPr>
          <w:t>отчете об оценке</w:t>
        </w:r>
      </w:hyperlink>
      <w:r w:rsidRPr="00A45D0D">
        <w:rPr>
          <w:rFonts w:ascii="Times New Roman" w:eastAsia="Times New Roman" w:hAnsi="Times New Roman" w:cs="Times New Roman"/>
          <w:sz w:val="24"/>
          <w:szCs w:val="24"/>
        </w:rPr>
        <w:t xml:space="preserve">, включающая также проверку отчета об оценке на соответствие требованиям законодательства Российской Федерации об оценочной деятельности, в том числе требованиям Федерального </w:t>
      </w:r>
      <w:r w:rsidRPr="00A45D0D">
        <w:rPr>
          <w:rFonts w:ascii="Times New Roman" w:eastAsia="Times New Roman" w:hAnsi="Times New Roman" w:cs="Times New Roman"/>
          <w:color w:val="333333"/>
          <w:sz w:val="24"/>
          <w:szCs w:val="24"/>
        </w:rPr>
        <w:t>закона</w:t>
      </w:r>
      <w:r w:rsidRPr="00A45D0D">
        <w:rPr>
          <w:rFonts w:ascii="Times New Roman" w:eastAsia="Times New Roman" w:hAnsi="Times New Roman" w:cs="Times New Roman"/>
          <w:sz w:val="24"/>
          <w:szCs w:val="24"/>
        </w:rPr>
        <w:t>,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w:t>
      </w:r>
    </w:p>
    <w:p w:rsidR="00A45D0D" w:rsidRPr="00A45D0D" w:rsidRDefault="00A45D0D" w:rsidP="00A45D0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45D0D">
        <w:rPr>
          <w:rFonts w:ascii="Times New Roman" w:eastAsia="Times New Roman" w:hAnsi="Times New Roman" w:cs="Times New Roman"/>
          <w:b/>
          <w:bCs/>
          <w:sz w:val="30"/>
          <w:szCs w:val="30"/>
        </w:rPr>
        <w:t>III. Порядок проведения экспертизы</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6. Экспертиза отчета об оценке проводится в случаях, установленных законодательством Российской Федерации. Иные случаи и основания проведения экспертизы устанавливаются внутренними документами саморегулируемой организации оценщиков.</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В случае, если экспертиза отчета об оценке проводится на основании договора на проведение экспертизы отчета об оценке, размер оплаты за проведение экспертизы отчета об оценке определяется договором и не может зависеть от вывода, содержащегося в положительном (отрицательном) экспертном заключении, подготовленном экспертом (экспертами) саморегулируемой организации оценщиков по результатам проведения экспертизы (далее – экспертное заключение).</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7. Экспертиза отчета об оценке проводится в сроки, установленные законодательством Российской Федерации, внутренними документами саморегулируемой организации оценщиков (если иные сроки не предусмотрены договором на проведение экспертизы) или договором на проведение экспертизы.</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8. Выбор эксперта (экспертов) саморегулируемой организации оценщиков, осуществляющего (осуществляющих) экспертизу отчета об оценке, проводится в порядке, установленном внутренними документами саморегулируемой организации оценщиков, содержащими критерии выбора и процедуру назначения эксперта (экспертов) саморегулируемой организации оценщиков, основания и порядок отказа эксперта (экспертов) саморегулируемой организации оценщиков от участия в проведении экспертизы отчета об оценке.</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lastRenderedPageBreak/>
        <w:t>9. Экспертиза отчета об оценке не может проводиться экспертом, подписавшим отчет об оценке, в отношении которого проводится экспертиза, либо являющимся учредителем, собственником, акционером, должностным лицом или работником юридического лица – заказчика экспертизы, собственника объекта оценки.</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Экспертиза отчета об оценке также не может проводиться экспертом в случае, если эксперт имеет имущественный интерес в объекте оценки, в отношении отчета об оценке которого проводится экспертиза, либо если эксперт состоит с учредителем, собственником, должностным лицом юридического лица – заказчика экспертизы, физическим лицом – заказчиком экспертизы или лицом, подписавшим соответствующий отчет об оценке, в близком родстве или свойстве, а также если юридическое лицо – заказчик экспертизы является кредитором или страховщиком эксперта.</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10. Эксперт обязан уведомлять саморегулируемую организацию оценщиков о фактах оказания на него воздействия со стороны любых лиц в целях влияния на вывод (выводы), содержащийся (содержащиеся) в экспертном заключении.</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11. Для проведения экспертизы отчет об оценке или заверенная в установленном саморегулируемой организацией оценщиков порядке его копия предоставляется в саморегулируемую организацию оценщиков, членом или членами которой является (являются) оценщик (оценщики), подписавший (подписавшие) отчет об оценке в порядке и в сроки, установленные внутренними документами такой саморегулируемой организации оценщиков, если иное не предусмотрено законодательством Российской Федерации.</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 xml:space="preserve">12. В зависимости от вида проводимой экспертизы саморегулируемой организацией оценщиков устанавливаются </w:t>
      </w:r>
      <w:hyperlink r:id="rId9" w:history="1">
        <w:r w:rsidRPr="00A45D0D">
          <w:rPr>
            <w:rFonts w:ascii="Times New Roman" w:eastAsia="Times New Roman" w:hAnsi="Times New Roman" w:cs="Times New Roman"/>
            <w:color w:val="0000FF"/>
            <w:sz w:val="24"/>
            <w:szCs w:val="24"/>
            <w:u w:val="single"/>
          </w:rPr>
          <w:t>допущения</w:t>
        </w:r>
      </w:hyperlink>
      <w:r w:rsidRPr="00A45D0D">
        <w:rPr>
          <w:rFonts w:ascii="Times New Roman" w:eastAsia="Times New Roman" w:hAnsi="Times New Roman" w:cs="Times New Roman"/>
          <w:sz w:val="24"/>
          <w:szCs w:val="24"/>
        </w:rPr>
        <w:t xml:space="preserve"> и ограничительные условия, с учетом которых проводится экспертиза отчета об оценке, не противоречащие Федеральному </w:t>
      </w:r>
      <w:r w:rsidRPr="00A45D0D">
        <w:rPr>
          <w:rFonts w:ascii="Times New Roman" w:eastAsia="Times New Roman" w:hAnsi="Times New Roman" w:cs="Times New Roman"/>
          <w:color w:val="333333"/>
          <w:sz w:val="24"/>
          <w:szCs w:val="24"/>
        </w:rPr>
        <w:t>закону</w:t>
      </w:r>
      <w:r w:rsidRPr="00A45D0D">
        <w:rPr>
          <w:rFonts w:ascii="Times New Roman" w:eastAsia="Times New Roman" w:hAnsi="Times New Roman" w:cs="Times New Roman"/>
          <w:sz w:val="24"/>
          <w:szCs w:val="24"/>
        </w:rPr>
        <w:t>, федеральным стандартам оценки и иным актам в области оценочной деятельности.</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13. Для целей проведения экспертизы необходимая для проведения экспертизы, но отсутствующая в отчете об оценке информация, на которую ссылается оценщик в отчете об оценке, представляется оценщиком по запросу эксперта. Эксперт направляет запрос, а оценщик направляет соответствующую информацию в порядке, установленном внутренними документами саморегулируемой организации оценщиков, членом которой является оценщик, подписавший отчет об оценке, содержащими требования к:</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содержанию запроса и срокам его направления;</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обоснованию необходимости представления информации;</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срокам и порядку направления оценщиком информации.</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14. При проведении экспертизы отчета об оценке не допускается использование экспертом информации, ставшей известной после даты оценки.</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15. Порядок действий эксперта при проведении экспертизы отчета об оценке устанавливается внутренними документами саморегулируемой организации оценщиков в соответствии с видами экспертизы.</w:t>
      </w:r>
    </w:p>
    <w:p w:rsidR="00A45D0D" w:rsidRPr="00A45D0D" w:rsidRDefault="00A45D0D" w:rsidP="00A45D0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45D0D">
        <w:rPr>
          <w:rFonts w:ascii="Times New Roman" w:eastAsia="Times New Roman" w:hAnsi="Times New Roman" w:cs="Times New Roman"/>
          <w:b/>
          <w:bCs/>
          <w:sz w:val="30"/>
          <w:szCs w:val="30"/>
        </w:rPr>
        <w:t>IV. Требования к экспертному заключению</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lastRenderedPageBreak/>
        <w:t>16. В экспертном заключении указываются:</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а) дата составления и номер экспертного заключения;</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б) основание для проведения экспертизы отчета об оценке;</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в) сведения о заказчике экспертизы отчета об оценке или ином органе, инициировавшем проведение экспертизы отчета об оценке (полное наименование, место нахождения, ОГРН (при наличии).</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В случае, если заказчиком экспертизы отчета об оценке является физическое лицо, сведения о нем указываются в следующем составе: фамилия, имя, отчество, серия и номер документа, удостоверяющего личность, дата выдачи и орган, выдавший указанный документ;</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г) вид проводимой экспертизы отчета об оценке;</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д) сведения об отчете об оценке (дата составления и порядковый номер отчета об оценке, информация, идентифицирующая объект оценки, дата определения стоимости объекта оценки), а также сведения об иных документах и материалах, представленных для экспертизы отчета об оценке;</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е) сведения о допущениях и ограничительных условиях, с учетом которых проведена экспертиза отчета об оценке;</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ж) сведения об эксперте (экспертах), подписавшем (подписавших) экспертное заключение (фамилия, имя, отчество, регистрационный номер согласно реестру членов саморегулируемой организации оценщиков);</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 xml:space="preserve">з) результаты проверки отчета об оценке на соответствие требованиям законодательства Российской Федерации об оценочной деятельности, в том числе требованиям Федерального </w:t>
      </w:r>
      <w:r w:rsidRPr="00A45D0D">
        <w:rPr>
          <w:rFonts w:ascii="Times New Roman" w:eastAsia="Times New Roman" w:hAnsi="Times New Roman" w:cs="Times New Roman"/>
          <w:color w:val="333333"/>
          <w:sz w:val="24"/>
          <w:szCs w:val="24"/>
        </w:rPr>
        <w:t>закона,</w:t>
      </w:r>
      <w:r w:rsidRPr="00A45D0D">
        <w:rPr>
          <w:rFonts w:ascii="Times New Roman" w:eastAsia="Times New Roman" w:hAnsi="Times New Roman" w:cs="Times New Roman"/>
          <w:sz w:val="24"/>
          <w:szCs w:val="24"/>
        </w:rPr>
        <w:t xml:space="preserve">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саморегулируемой организации оценщиков;</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и) результаты проверки обоснованности выбранных оценщиком методов оценки в рамках каждого из использованных оценщиком подходов к оценке и проверки соответствия выполненного в отчете расчета стоимости объекта оценки соответствующим подходам и методам;</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к) результаты и обоснование иных действий эксперта при проведении экспертизы на подтверждение стоимости;</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л) вывод по итогам проведения экспертизы отчета об оценке, который должен быть обоснован.</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17. Результатом экспертизы отчета об оценке является положительное или отрицательное экспертное заключение.</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 xml:space="preserve">При проведении нормативно-методической экспертизы положительным экспертным заключением признается экспертное заключение, содержащее вывод о соответствии </w:t>
      </w:r>
      <w:r w:rsidRPr="00A45D0D">
        <w:rPr>
          <w:rFonts w:ascii="Times New Roman" w:eastAsia="Times New Roman" w:hAnsi="Times New Roman" w:cs="Times New Roman"/>
          <w:sz w:val="24"/>
          <w:szCs w:val="24"/>
        </w:rPr>
        <w:lastRenderedPageBreak/>
        <w:t xml:space="preserve">отчета об оценке требованиям законодательства Российской Федерации об оценочной деятельности, в том числе требованиям Федерального </w:t>
      </w:r>
      <w:r w:rsidRPr="00A45D0D">
        <w:rPr>
          <w:rFonts w:ascii="Times New Roman" w:eastAsia="Times New Roman" w:hAnsi="Times New Roman" w:cs="Times New Roman"/>
          <w:color w:val="333333"/>
          <w:sz w:val="24"/>
          <w:szCs w:val="24"/>
        </w:rPr>
        <w:t>закона,</w:t>
      </w:r>
      <w:r w:rsidRPr="00A45D0D">
        <w:rPr>
          <w:rFonts w:ascii="Times New Roman" w:eastAsia="Times New Roman" w:hAnsi="Times New Roman" w:cs="Times New Roman"/>
          <w:sz w:val="24"/>
          <w:szCs w:val="24"/>
        </w:rPr>
        <w:t xml:space="preserve">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(далее – вывод о соответствии отчета об оценке законодательству).</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При проведении экспертизы на подтверждение стоимости объекта оценки, определенной оценщиком в отчете, положительным экспертным заключением признается экспертное заключение, содержащее вывод о подтверждении стоимости объекта оценки, определенной оценщиком в отчете об оценке, в том числе вывод о соответствии отчета об оценке законодательству.</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Отрицательным экспертным заключением признается экспертное заключение, содержащее вывод, отличный от выводов, указанных в</w:t>
      </w:r>
      <w:r w:rsidRPr="00A45D0D">
        <w:rPr>
          <w:rFonts w:ascii="Times New Roman" w:eastAsia="Times New Roman" w:hAnsi="Times New Roman" w:cs="Times New Roman"/>
          <w:color w:val="333333"/>
          <w:sz w:val="24"/>
          <w:szCs w:val="24"/>
        </w:rPr>
        <w:t xml:space="preserve"> абзацах втором или третьем </w:t>
      </w:r>
      <w:r w:rsidRPr="00A45D0D">
        <w:rPr>
          <w:rFonts w:ascii="Times New Roman" w:eastAsia="Times New Roman" w:hAnsi="Times New Roman" w:cs="Times New Roman"/>
          <w:sz w:val="24"/>
          <w:szCs w:val="24"/>
        </w:rPr>
        <w:t>настоящего пункта.</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Отрицательное экспертное заключение включает в себя полный перечень выявленных нарушений и их обоснование.</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18. Отрицательное экспертное заключение должно содержать перечень выявленных технических ошибок (описка, опечатка, грамматическая или арифметическая ошибка), которые способны ввести в заблуждение пользователей отчета об оценке, а также приводят к неоднозначному толкованию.</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Выявленные технические ошибки, допущенные оценщиком при составлении отчета об оценке, но не приведшие к нарушению требований законодательства Российской Федерации, в том числе требований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и не отразившиеся на стоимости объекта оценки, определенной оценщиком в отчете об оценке, не являются основанием для составления отрицательного экспертного заключения.</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19. В случае, если в нормативном правовом акте, договоре на проведение экспертизы отчета об оценке, определении суда или внутренних документах саморегулируемой организации оценщиков не указан вид экспертизы, экспертом проводится нормативно-методическая экспертиза.</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20. Экспертное заключение составляется в письменной форме в соответствии с требованиями федерального закона, федеральных стандартов оценки, стандартов и правил оценочной деятельности саморегулируемой организации оценщиков и должно быть пронумеровано постранично, прошито, скреплено печатью саморегулируемой организации оценщиков (за исключением случаев составления экспертного заключения в виде электронного документа), подписано экспертом (экспертами), проведшим (проведшими) экспертизу отчета об оценке, утверждено руководителем экспертного совета саморегулируемой организации оценщиков либо иным уполномоченным лицом, заверено руководителем исполнительного органа саморегулируемой организации оценщиков или иным уполномоченным лицом и утверждено в порядке, установленном саморегулируемой организацией оценщиков в соответствии с требованиями настоящего Федерального стандарта оценки.</w:t>
      </w:r>
    </w:p>
    <w:p w:rsidR="00A45D0D" w:rsidRPr="00A45D0D" w:rsidRDefault="00A45D0D" w:rsidP="00A45D0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45D0D">
        <w:rPr>
          <w:rFonts w:ascii="Times New Roman" w:eastAsia="Times New Roman" w:hAnsi="Times New Roman" w:cs="Times New Roman"/>
          <w:b/>
          <w:bCs/>
          <w:sz w:val="30"/>
          <w:szCs w:val="30"/>
        </w:rPr>
        <w:lastRenderedPageBreak/>
        <w:t>V. Требования к порядку утверждения экспертного заключения</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21. Установленный саморегулируемой организацией оценщиков порядок утверждения экспертного заключения, подготовленного экспертом (экспертами) саморегулируемой организации оценщиков (далее – порядок утверждения экспертного заключения), должен содержать положения, определяющие:</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состав лиц, подписывающих экспертное заключение;</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форму утверждения экспертного заключения руководителем экспертного совета саморегулируемой организации оценщиков либо иным уполномоченным лицом;</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форму заверения экспертного заключения руководителем исполнительного органа саморегулируемой организации оценщиков либо иным уполномоченным лицом;</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последовательность и сроки процедур подписания, утверждения и заверения экспертного заключения;</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состав и объем указываемых в экспертном заключении сведений о полученной от оценщика на основании запросов информации, необходимой для проведения экспертизы, но отсутствующей в отчете об оценке.</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Порядок утверждения экспертного заключения должен содержать требования о подписании экспертного заключения, составленного в форме электронного документа, усиленной квалифицированной электронной подписью.</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22. В случае, если иное не установлено законодательством Российской Федерации об оценочной деятельности или договором на проведение экспертизы отчета об оценке, саморегулируемая организация оценщиков уведомляет оценщиков, которые подписали отчет об оценке, о результатах экспертизы подписанных ими отчетов в срок, предусмотренный внутренними документами саморегулируемой организации оценщиков.</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23. Копия экспертного заключения хранится саморегулируемой организацией оценщиков в течение общего срока исковой давности, установленного законодательством Российской Федерации.</w:t>
      </w:r>
    </w:p>
    <w:p w:rsidR="00A45D0D" w:rsidRPr="00A45D0D" w:rsidRDefault="00A45D0D" w:rsidP="00A45D0D">
      <w:pPr>
        <w:spacing w:before="100" w:beforeAutospacing="1" w:after="100" w:afterAutospacing="1" w:line="240" w:lineRule="auto"/>
        <w:ind w:firstLine="540"/>
        <w:jc w:val="both"/>
        <w:rPr>
          <w:rFonts w:ascii="Times New Roman" w:eastAsia="Times New Roman" w:hAnsi="Times New Roman" w:cs="Times New Roman"/>
          <w:sz w:val="24"/>
          <w:szCs w:val="24"/>
        </w:rPr>
      </w:pPr>
      <w:r w:rsidRPr="00A45D0D">
        <w:rPr>
          <w:rFonts w:ascii="Times New Roman" w:eastAsia="Times New Roman" w:hAnsi="Times New Roman" w:cs="Times New Roman"/>
          <w:sz w:val="24"/>
          <w:szCs w:val="24"/>
        </w:rPr>
        <w:t>Копия экспертного заключения может храниться в форме электронного документа, подписанного усиленной квалифицированной электронной подписью.</w:t>
      </w:r>
    </w:p>
    <w:p w:rsidR="008021D9" w:rsidRDefault="008021D9"/>
    <w:sectPr w:rsidR="008021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A45D0D"/>
    <w:rsid w:val="008021D9"/>
    <w:rsid w:val="00A45D0D"/>
    <w:rsid w:val="00A82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5D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45D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45D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D0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45D0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45D0D"/>
    <w:rPr>
      <w:rFonts w:ascii="Times New Roman" w:eastAsia="Times New Roman" w:hAnsi="Times New Roman" w:cs="Times New Roman"/>
      <w:b/>
      <w:bCs/>
      <w:sz w:val="27"/>
      <w:szCs w:val="27"/>
    </w:rPr>
  </w:style>
  <w:style w:type="character" w:customStyle="1" w:styleId="cat-links">
    <w:name w:val="cat-links"/>
    <w:basedOn w:val="a0"/>
    <w:rsid w:val="00A45D0D"/>
  </w:style>
  <w:style w:type="character" w:styleId="a3">
    <w:name w:val="Hyperlink"/>
    <w:basedOn w:val="a0"/>
    <w:uiPriority w:val="99"/>
    <w:semiHidden/>
    <w:unhideWhenUsed/>
    <w:rsid w:val="00A45D0D"/>
    <w:rPr>
      <w:color w:val="0000FF"/>
      <w:u w:val="single"/>
    </w:rPr>
  </w:style>
  <w:style w:type="character" w:customStyle="1" w:styleId="posted-on">
    <w:name w:val="posted-on"/>
    <w:basedOn w:val="a0"/>
    <w:rsid w:val="00A45D0D"/>
  </w:style>
  <w:style w:type="character" w:customStyle="1" w:styleId="author">
    <w:name w:val="author"/>
    <w:basedOn w:val="a0"/>
    <w:rsid w:val="00A45D0D"/>
  </w:style>
  <w:style w:type="paragraph" w:customStyle="1" w:styleId="consplusnormal">
    <w:name w:val="consplusnormal"/>
    <w:basedOn w:val="a"/>
    <w:rsid w:val="00A45D0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45D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5D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0335327">
      <w:bodyDiv w:val="1"/>
      <w:marLeft w:val="0"/>
      <w:marRight w:val="0"/>
      <w:marTop w:val="0"/>
      <w:marBottom w:val="0"/>
      <w:divBdr>
        <w:top w:val="none" w:sz="0" w:space="0" w:color="auto"/>
        <w:left w:val="none" w:sz="0" w:space="0" w:color="auto"/>
        <w:bottom w:val="none" w:sz="0" w:space="0" w:color="auto"/>
        <w:right w:val="none" w:sz="0" w:space="0" w:color="auto"/>
      </w:divBdr>
      <w:divsChild>
        <w:div w:id="1285766888">
          <w:marLeft w:val="0"/>
          <w:marRight w:val="0"/>
          <w:marTop w:val="0"/>
          <w:marBottom w:val="0"/>
          <w:divBdr>
            <w:top w:val="none" w:sz="0" w:space="0" w:color="auto"/>
            <w:left w:val="none" w:sz="0" w:space="0" w:color="auto"/>
            <w:bottom w:val="none" w:sz="0" w:space="0" w:color="auto"/>
            <w:right w:val="none" w:sz="0" w:space="0" w:color="auto"/>
          </w:divBdr>
          <w:divsChild>
            <w:div w:id="791944990">
              <w:marLeft w:val="0"/>
              <w:marRight w:val="0"/>
              <w:marTop w:val="0"/>
              <w:marBottom w:val="0"/>
              <w:divBdr>
                <w:top w:val="none" w:sz="0" w:space="0" w:color="auto"/>
                <w:left w:val="none" w:sz="0" w:space="0" w:color="auto"/>
                <w:bottom w:val="none" w:sz="0" w:space="0" w:color="auto"/>
                <w:right w:val="none" w:sz="0" w:space="0" w:color="auto"/>
              </w:divBdr>
              <w:divsChild>
                <w:div w:id="1704985634">
                  <w:marLeft w:val="0"/>
                  <w:marRight w:val="0"/>
                  <w:marTop w:val="0"/>
                  <w:marBottom w:val="0"/>
                  <w:divBdr>
                    <w:top w:val="none" w:sz="0" w:space="0" w:color="auto"/>
                    <w:left w:val="none" w:sz="0" w:space="0" w:color="auto"/>
                    <w:bottom w:val="none" w:sz="0" w:space="0" w:color="auto"/>
                    <w:right w:val="none" w:sz="0" w:space="0" w:color="auto"/>
                  </w:divBdr>
                </w:div>
                <w:div w:id="1355959990">
                  <w:marLeft w:val="0"/>
                  <w:marRight w:val="0"/>
                  <w:marTop w:val="0"/>
                  <w:marBottom w:val="0"/>
                  <w:divBdr>
                    <w:top w:val="none" w:sz="0" w:space="0" w:color="auto"/>
                    <w:left w:val="none" w:sz="0" w:space="0" w:color="auto"/>
                    <w:bottom w:val="none" w:sz="0" w:space="0" w:color="auto"/>
                    <w:right w:val="none" w:sz="0" w:space="0" w:color="auto"/>
                  </w:divBdr>
                  <w:divsChild>
                    <w:div w:id="589703175">
                      <w:marLeft w:val="0"/>
                      <w:marRight w:val="0"/>
                      <w:marTop w:val="0"/>
                      <w:marBottom w:val="0"/>
                      <w:divBdr>
                        <w:top w:val="none" w:sz="0" w:space="0" w:color="auto"/>
                        <w:left w:val="none" w:sz="0" w:space="0" w:color="auto"/>
                        <w:bottom w:val="none" w:sz="0" w:space="0" w:color="auto"/>
                        <w:right w:val="none" w:sz="0" w:space="0" w:color="auto"/>
                      </w:divBdr>
                    </w:div>
                    <w:div w:id="778791718">
                      <w:marLeft w:val="0"/>
                      <w:marRight w:val="0"/>
                      <w:marTop w:val="0"/>
                      <w:marBottom w:val="0"/>
                      <w:divBdr>
                        <w:top w:val="none" w:sz="0" w:space="0" w:color="auto"/>
                        <w:left w:val="none" w:sz="0" w:space="0" w:color="auto"/>
                        <w:bottom w:val="none" w:sz="0" w:space="0" w:color="auto"/>
                        <w:right w:val="none" w:sz="0" w:space="0" w:color="auto"/>
                      </w:divBdr>
                    </w:div>
                    <w:div w:id="10493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tsenka-krasnodar.ru/otchet-ob-otsenke-kvartiry/" TargetMode="External"/><Relationship Id="rId3" Type="http://schemas.openxmlformats.org/officeDocument/2006/relationships/webSettings" Target="webSettings.xml"/><Relationship Id="rId7" Type="http://schemas.openxmlformats.org/officeDocument/2006/relationships/hyperlink" Target="https://otsenka-krasnodar.ru/federalnye-standarty-otsenki-fs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tsenka-krasnodar.ru/otsenshhiki/" TargetMode="External"/><Relationship Id="rId11" Type="http://schemas.openxmlformats.org/officeDocument/2006/relationships/theme" Target="theme/theme1.xml"/><Relationship Id="rId5" Type="http://schemas.openxmlformats.org/officeDocument/2006/relationships/hyperlink" Target="https://otsenka-krasnodar.ru/otchet-ob-otsenke-kvartiry/" TargetMode="External"/><Relationship Id="rId10" Type="http://schemas.openxmlformats.org/officeDocument/2006/relationships/fontTable" Target="fontTable.xml"/><Relationship Id="rId4" Type="http://schemas.openxmlformats.org/officeDocument/2006/relationships/hyperlink" Target="https://otsenka-krasnodar.ru/zakon-ob-otsenke/" TargetMode="External"/><Relationship Id="rId9" Type="http://schemas.openxmlformats.org/officeDocument/2006/relationships/hyperlink" Target="https://otsenka-krasnodar.ru/dopushheniya-ogranich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2310</Words>
  <Characters>13171</Characters>
  <Application>Microsoft Office Word</Application>
  <DocSecurity>0</DocSecurity>
  <Lines>109</Lines>
  <Paragraphs>30</Paragraphs>
  <ScaleCrop>false</ScaleCrop>
  <Company/>
  <LinksUpToDate>false</LinksUpToDate>
  <CharactersWithSpaces>15451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Ucon55</dc:creator>
  <cp:keywords/>
  <dc:description/>
  <cp:lastModifiedBy>Ucon55</cp:lastModifiedBy>
  <cp:revision>3</cp:revision>
  <dcterms:created xsi:type="dcterms:W3CDTF">2019-09-23T06:50:00Z</dcterms:created>
  <dcterms:modified xsi:type="dcterms:W3CDTF">2019-09-23T06:50:00Z</dcterms:modified>
</cp:coreProperties>
</file>