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25" w:rsidRPr="00C00125" w:rsidRDefault="00C00125" w:rsidP="00C001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приказом Минэкономразвития России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от 20.05.2015 N 297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125">
        <w:rPr>
          <w:rFonts w:ascii="Times New Roman" w:eastAsia="Times New Roman" w:hAnsi="Times New Roman" w:cs="Times New Roman"/>
          <w:b/>
          <w:bCs/>
          <w:sz w:val="34"/>
          <w:szCs w:val="34"/>
        </w:rPr>
        <w:t>ФЕДЕРАЛЬНЫЙ СТАНДАРТ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125">
        <w:rPr>
          <w:rFonts w:ascii="Times New Roman" w:eastAsia="Times New Roman" w:hAnsi="Times New Roman" w:cs="Times New Roman"/>
          <w:b/>
          <w:bCs/>
          <w:sz w:val="34"/>
          <w:szCs w:val="34"/>
        </w:rPr>
        <w:t>ОЦЕНКИ “ОБЩИЕ ПОНЯТИЯ ОЦЕНКИ, ПОДХОДЫ И ТРЕБОВАНИЯ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0125">
        <w:rPr>
          <w:rFonts w:ascii="Times New Roman" w:eastAsia="Times New Roman" w:hAnsi="Times New Roman" w:cs="Times New Roman"/>
          <w:b/>
          <w:bCs/>
          <w:sz w:val="34"/>
          <w:szCs w:val="34"/>
        </w:rPr>
        <w:t>К ПРОВЕДЕНИЮ ОЦЕНКИ (ФСО 1)”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0125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1. Настоящий Федеральный стандарт оценки определяет общие понятия оценки, </w:t>
      </w:r>
      <w:hyperlink r:id="rId4" w:history="1">
        <w:r w:rsidRPr="00C00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подходы к оценке</w:t>
        </w:r>
      </w:hyperlink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 к проведению оценки, применяемые при осуществлении оценочной деятельности.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0125">
        <w:rPr>
          <w:rFonts w:ascii="Times New Roman" w:eastAsia="Times New Roman" w:hAnsi="Times New Roman" w:cs="Times New Roman"/>
          <w:b/>
          <w:bCs/>
          <w:sz w:val="27"/>
          <w:szCs w:val="27"/>
        </w:rPr>
        <w:t>II. Общие понятия оценки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3. К объектам оценки относятся объекты гражданских прав, в отношении которых законодательством Российской Федерации установлена возможность их участия в гражданском обороте.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4. Цена – это денежная сумма, запрашиваемая, предлагаемая или уплачиваемая участниками в результате совершенной или предполагаемой сделки.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5. Стоимость объекта оценки – это наиболее вероятная расчетная величина, определенная на дату оценки в соответствии с выбранным видом стоимости согласно требованиям Федерального стандарта оценки “Цель оценки и виды стоимости (</w:t>
      </w:r>
      <w:hyperlink r:id="rId5" w:history="1">
        <w:r w:rsidRPr="00C00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ФСО 2</w:t>
        </w:r>
      </w:hyperlink>
      <w:r w:rsidRPr="00C00125">
        <w:rPr>
          <w:rFonts w:ascii="Times New Roman" w:eastAsia="Times New Roman" w:hAnsi="Times New Roman" w:cs="Times New Roman"/>
          <w:sz w:val="24"/>
          <w:szCs w:val="24"/>
        </w:rPr>
        <w:t>)”.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6. Итоговая величина стоимости – стоимость объекта оценки, рассчитанная при использовании подходов к оценке и обоснованного оценщиком согласования (обобщения) результатов, полученных в рамках применения различных подходов к оценке.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7. Подход к оценке – это совокупность методов оценки, объединенных общей методологией. Метод проведения оценки объекта оценки – это последовательность процедур, позволяющая на основе существенной для данного метода информации определить стоимость объекта оценки в рамках одного из подходов к оценке.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8. Дата определения стоимости объекта оценки (дата проведения оценки, дата оценки) – это дата, по состоянию на которую определена стоимость объекта оценки.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событиях, произошедших после даты оценки, может быть использована для определения стоимости объекта оценки только для подтверждения </w:t>
      </w:r>
      <w:r w:rsidRPr="00C00125">
        <w:rPr>
          <w:rFonts w:ascii="Times New Roman" w:eastAsia="Times New Roman" w:hAnsi="Times New Roman" w:cs="Times New Roman"/>
          <w:sz w:val="24"/>
          <w:szCs w:val="24"/>
        </w:rPr>
        <w:lastRenderedPageBreak/>
        <w:t>тенденций, сложившихся на дату оценки, в том случае, когда такая информация соответствует сложившимся ожиданиям рынка на дату оценки.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hyperlink r:id="rId6" w:history="1">
        <w:r w:rsidRPr="00C00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Допущение</w:t>
        </w:r>
      </w:hyperlink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 – предположение, принимаемое как верное и касающееся фактов, условий или обстоятельств, связанных с объектом оценки или подходами к оценке, которые не требуют проверки оценщиком в процессе оценки.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10. Объект-аналог – объект, сходный объекту оценки по основным экономическим, материальным, техническим и другим характеристикам, определяющим его стоимость.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0125">
        <w:rPr>
          <w:rFonts w:ascii="Times New Roman" w:eastAsia="Times New Roman" w:hAnsi="Times New Roman" w:cs="Times New Roman"/>
          <w:b/>
          <w:bCs/>
          <w:sz w:val="27"/>
          <w:szCs w:val="27"/>
        </w:rPr>
        <w:t>III. Подходы к оценке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11. Основными подходами, используемыми при проведении оценки, являются сравнительный, доходный и затратный </w:t>
      </w:r>
      <w:hyperlink r:id="rId7" w:history="1">
        <w:r w:rsidRPr="00C00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подходы</w:t>
        </w:r>
      </w:hyperlink>
      <w:r w:rsidRPr="00C00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При выборе используемых при проведении оценки подходов следует учитывать не только возможность применения каждого из подходов, но и цели и задачи оценки, предполагаемое использование результатов оценки, допущения, полноту и достоверность исходной информации.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На основе анализа указанных факторов обосновывается выбор подходов, используемых оценщиком.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b/>
          <w:bCs/>
          <w:sz w:val="23"/>
          <w:szCs w:val="23"/>
        </w:rPr>
        <w:t>Сравнительный подход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12. Сравнительный подход – совокупность методов оценки, основанных на получении стоимости объекта оценки путем сравнения оцениваемого объекта с объектами-аналогами.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13. Сравнительный подход рекомендуется применять, когда доступна достоверная и достаточная для анализа информация о ценах и характеристиках объектов-аналогов. При этом могут применяться как цены совершенных сделок, так и цены предложений.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14. В рамках сравнительного подхода применяются различные методы, основанные как на прямом сопоставлении оцениваемого объекта и объектов-аналогов, так и методы, основанные на анализе статистических данных и информации о рынке объекта оценки.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b/>
          <w:bCs/>
          <w:sz w:val="23"/>
          <w:szCs w:val="23"/>
        </w:rPr>
        <w:t>Доходный подход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15. Доходный подход – совокупность методов оценки, основанных на определении ожидаемых доходов от использования объекта оценки.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16. Доходный подход рекомендуется применять, когда существует достоверная информация, позволяющая прогнозировать будущие доходы, которые объект оценки способен приносить, а также связанные с объектом оценки расходы.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17. В рамках доходного подхода применяются различные методы, основанные на дисконтировании денежных потоков и капитализации дохода.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b/>
          <w:bCs/>
          <w:sz w:val="23"/>
          <w:szCs w:val="23"/>
        </w:rPr>
        <w:t>Затратный подход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lastRenderedPageBreak/>
        <w:t>18. Затратный подход – совокупность методов оценки стоимости объекта оценки, основанных на определении затрат, необходимых для приобретения, воспроизводства либо замещения объекта оценки с учетом износа и устареваний.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19. Затратный подход преимущественно применяется в тех случаях, когда существует достоверная информация, позволяющая определить затраты на приобретение, воспроизводство либо замещение объекта оценки.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20. В рамках затратного подхода применяются различные методы, основанные на определении затрат на создание точной копии объекта оценки или объекта, имеющего аналогичные полезные свойства.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Критерии признания объекта точной копией объекта оценки или объектом, имеющим сопоставимые полезные свойства, определяются федеральными стандартами оценки, устанавливающими требования к проведению оценки отдельных видов объектов оценки и (или) для специальных целей.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0125">
        <w:rPr>
          <w:rFonts w:ascii="Times New Roman" w:eastAsia="Times New Roman" w:hAnsi="Times New Roman" w:cs="Times New Roman"/>
          <w:b/>
          <w:bCs/>
          <w:sz w:val="27"/>
          <w:szCs w:val="27"/>
        </w:rPr>
        <w:t>IV. Задание на оценку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21. Задание на оценку является неотъемлемой частью </w:t>
      </w:r>
      <w:hyperlink r:id="rId8" w:history="1">
        <w:r w:rsidRPr="00C00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договора на проведение оценки</w:t>
        </w:r>
      </w:hyperlink>
      <w:r w:rsidRPr="00C00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00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Задание на оценку</w:t>
        </w:r>
      </w:hyperlink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 должно содержать следующую информацию: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а) объект оценки;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б) права на объект оценки, учитываемые при определении стоимости объекта оценки;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в) цель оценки;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г) предполагаемое использование результатов оценки;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д) вид стоимости;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е) дату оценки;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ж) допущения, на которых должна основываться оценка;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з) иную информацию, предусмотренную федеральными стандартами оценки.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22. Дополнительные требования к заданию на оценку могут быть регламентированы соответствующими федеральными стандартами оценки.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0125">
        <w:rPr>
          <w:rFonts w:ascii="Times New Roman" w:eastAsia="Times New Roman" w:hAnsi="Times New Roman" w:cs="Times New Roman"/>
          <w:b/>
          <w:bCs/>
          <w:sz w:val="27"/>
          <w:szCs w:val="27"/>
        </w:rPr>
        <w:t>V. Требования к проведению оценки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23. Проведение оценки включает следующие этапы: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а) заключение договора на проведение оценки, включающего задание на оценку;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б) сбор и анализ информации, необходимой для проведения оценки;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lastRenderedPageBreak/>
        <w:t>в) применение подходов к оценке, включая выбор методов оценки и осуществление необходимых расчетов;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г) согласование (в случае необходимости) результатов и определение итоговой величины стоимости объекта оценки;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д) составление </w:t>
      </w:r>
      <w:hyperlink r:id="rId10" w:history="1">
        <w:r w:rsidRPr="00C00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отчета об оценке</w:t>
        </w:r>
      </w:hyperlink>
      <w:r w:rsidRPr="00C00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24. 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оценки возможно установление дополнительных </w:t>
      </w:r>
      <w:proofErr w:type="gramStart"/>
      <w:r w:rsidRPr="00C001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 указанным в задании на оценку допущений, связанных с предполагаемым использованием результатов оценки и спецификой объекта оценки.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25. В случае использования нескольких подходов к оценке, а также использования в рамках какого-либо из подходов к оценке нескольких методов оценки выполняется предварительное согласование их результатов с целью </w:t>
      </w:r>
      <w:proofErr w:type="gramStart"/>
      <w:r w:rsidRPr="00C00125">
        <w:rPr>
          <w:rFonts w:ascii="Times New Roman" w:eastAsia="Times New Roman" w:hAnsi="Times New Roman" w:cs="Times New Roman"/>
          <w:sz w:val="24"/>
          <w:szCs w:val="24"/>
        </w:rPr>
        <w:t>получения промежуточного результата оценки объекта оценки</w:t>
      </w:r>
      <w:proofErr w:type="gramEnd"/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 данным подходом.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При согласовании существенно отличающихся промежуточных результатов оценки, полученных различными подходами или методами, в отчете необходимо отразить проведенный анализ и установленную причину расхождений.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Существенным признается такое отличие, при котором результат, полученный при применении одного подхода (метода), находится вне границ указанного оценщиком диапазона стоимости, полученной при применении другого подхода (методов) (при наличии).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26. После проведения процедуры согласования оценщик помимо указания в отчете об оценке итоговой величины стоимости объекта оценки имеет право приводить свое суждение о возможных границах интервала, в котором, по его мнению, может находиться эта стоимость, если в задании на оценку не указано иное.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>27. Итоговая величина стоимости объекта оценки должна быть выражена в рублях Российской Федерации.</w:t>
      </w:r>
    </w:p>
    <w:p w:rsidR="00C00125" w:rsidRPr="00C00125" w:rsidRDefault="00C00125" w:rsidP="00C0012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28. По итогам проведения оценки составляется отчет об оценке. </w:t>
      </w:r>
      <w:proofErr w:type="gramStart"/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 и оформлению отчета об оценке устанавливаются Федеральным </w:t>
      </w:r>
      <w:hyperlink r:id="rId11" w:history="1">
        <w:r w:rsidRPr="00C00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C00125">
        <w:rPr>
          <w:rFonts w:ascii="Times New Roman" w:eastAsia="Times New Roman" w:hAnsi="Times New Roman" w:cs="Times New Roman"/>
          <w:sz w:val="24"/>
          <w:szCs w:val="24"/>
        </w:rPr>
        <w:t xml:space="preserve"> от 29 июля 1998 г. N 135-ФЗ “Об оценочной деятельности в Российской Федерации” (Собрание законодательства Российской Федерации, 1998, N 31, ст. 3813; 2002, N 4, ст. 251; N 12, ст. 1093; N 46, ст. 4537; 2003, N 2, ст. 167;N 9, ст. 805; 2004, N 35, ст. 3607; 2006, N 2, ст. 172; N 31, ст. 3456; 2007, N 7, ст. 834; N 29, ст. 3482; N 31, фсо 1, ст. 4016; 2008, N 27, ст. 3126; 2009, N 19, ст. 2281; N 29, ст. 3582, ст. 3618; N 52, ст. 6419, 6450;2010, N 30, ст. 3998; 2011, N 1, ст. 43; N 27, ст. 3880; N 29, ст. 4291; N 48, ст. 6728; N 49, ст. 7024, ст. 7061; 2012, N 31, ст. 4333; 2013, N 23, ст. 2871; N 27, ст. 3477; N 30, ст. 4082; 2014, N 11, ст. 1098;N 23, ст. 2928; N 30, ст. 4226; 2015, N 1, ст. 52; N 10, ст. 1418) и </w:t>
      </w:r>
      <w:hyperlink r:id="rId12" w:history="1">
        <w:r w:rsidRPr="00C00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федеральными стандартами оценки</w:t>
        </w:r>
      </w:hyperlink>
      <w:r w:rsidRPr="00C001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E5070" w:rsidRDefault="00FE5070"/>
    <w:sectPr w:rsidR="00FE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C00125"/>
    <w:rsid w:val="00C00125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0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0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001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01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01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001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t-links">
    <w:name w:val="cat-links"/>
    <w:basedOn w:val="a0"/>
    <w:rsid w:val="00C00125"/>
  </w:style>
  <w:style w:type="character" w:styleId="a3">
    <w:name w:val="Hyperlink"/>
    <w:basedOn w:val="a0"/>
    <w:uiPriority w:val="99"/>
    <w:semiHidden/>
    <w:unhideWhenUsed/>
    <w:rsid w:val="00C00125"/>
    <w:rPr>
      <w:color w:val="0000FF"/>
      <w:u w:val="single"/>
    </w:rPr>
  </w:style>
  <w:style w:type="character" w:customStyle="1" w:styleId="posted-on">
    <w:name w:val="posted-on"/>
    <w:basedOn w:val="a0"/>
    <w:rsid w:val="00C00125"/>
  </w:style>
  <w:style w:type="character" w:customStyle="1" w:styleId="author">
    <w:name w:val="author"/>
    <w:basedOn w:val="a0"/>
    <w:rsid w:val="00C00125"/>
  </w:style>
  <w:style w:type="paragraph" w:customStyle="1" w:styleId="consplusnormal">
    <w:name w:val="consplusnormal"/>
    <w:basedOn w:val="a"/>
    <w:rsid w:val="00C0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senka-krasnodar.ru/dogovo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tsenka-krasnodar.ru/podhody-k-otsenke-nedvizhimosti/" TargetMode="External"/><Relationship Id="rId12" Type="http://schemas.openxmlformats.org/officeDocument/2006/relationships/hyperlink" Target="https://otsenka-krasnodar.ru/federalnye-standarty-otsenki-fs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senka-krasnodar.ru/dopushheniya-ogranicheniya/" TargetMode="External"/><Relationship Id="rId11" Type="http://schemas.openxmlformats.org/officeDocument/2006/relationships/hyperlink" Target="https://otsenka-krasnodar.ru/zakon-ob-otsenke/" TargetMode="External"/><Relationship Id="rId5" Type="http://schemas.openxmlformats.org/officeDocument/2006/relationships/hyperlink" Target="https://otsenka-krasnodar.ru/fso-2/" TargetMode="External"/><Relationship Id="rId10" Type="http://schemas.openxmlformats.org/officeDocument/2006/relationships/hyperlink" Target="https://otsenka-krasnodar.ru/otchet-ob-otsenke-kvartiry/" TargetMode="External"/><Relationship Id="rId4" Type="http://schemas.openxmlformats.org/officeDocument/2006/relationships/hyperlink" Target="https://otsenka-krasnodar.ru/podhody-k-otsenke-nedvizhimosti/" TargetMode="External"/><Relationship Id="rId9" Type="http://schemas.openxmlformats.org/officeDocument/2006/relationships/hyperlink" Target="https://otsenka-krasnodar.ru/zadanie-na-otsenk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Ucon55</dc:creator>
  <cp:keywords/>
  <dc:description/>
  <cp:lastModifiedBy>Ucon55</cp:lastModifiedBy>
  <cp:revision>2</cp:revision>
  <dcterms:created xsi:type="dcterms:W3CDTF">2019-09-23T06:48:00Z</dcterms:created>
  <dcterms:modified xsi:type="dcterms:W3CDTF">2019-09-23T06:48:00Z</dcterms:modified>
</cp:coreProperties>
</file>